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ayout w:type="fixed"/>
        <w:tblLook w:val="04A0" w:firstRow="1" w:lastRow="0" w:firstColumn="1" w:lastColumn="0" w:noHBand="0" w:noVBand="1"/>
      </w:tblPr>
      <w:tblGrid>
        <w:gridCol w:w="1838"/>
        <w:gridCol w:w="6521"/>
        <w:gridCol w:w="2835"/>
        <w:gridCol w:w="2409"/>
        <w:gridCol w:w="1785"/>
      </w:tblGrid>
      <w:tr w:rsidR="003B6EA8" w14:paraId="6C60A3CF" w14:textId="77777777" w:rsidTr="00B93A99">
        <w:tc>
          <w:tcPr>
            <w:tcW w:w="1838" w:type="dxa"/>
          </w:tcPr>
          <w:p w14:paraId="37C722CD" w14:textId="3385A041" w:rsidR="00D945DD" w:rsidRPr="00664A49" w:rsidRDefault="00D945DD" w:rsidP="008166FD">
            <w:pPr>
              <w:pStyle w:val="NormalWeb"/>
              <w:jc w:val="center"/>
              <w:rPr>
                <w:b/>
                <w:bCs/>
              </w:rPr>
            </w:pPr>
            <w:r w:rsidRPr="00664A49">
              <w:rPr>
                <w:b/>
                <w:bCs/>
              </w:rPr>
              <w:t>Matières</w:t>
            </w:r>
            <w:r w:rsidR="00D21B74" w:rsidRPr="00664A49">
              <w:rPr>
                <w:b/>
                <w:bCs/>
              </w:rPr>
              <w:t xml:space="preserve"> </w:t>
            </w:r>
          </w:p>
        </w:tc>
        <w:tc>
          <w:tcPr>
            <w:tcW w:w="6521" w:type="dxa"/>
          </w:tcPr>
          <w:p w14:paraId="6D8ED2E9" w14:textId="57C4D8FE" w:rsidR="00D945DD" w:rsidRPr="001F4D5B" w:rsidRDefault="00D945DD" w:rsidP="008166FD">
            <w:pPr>
              <w:pStyle w:val="NormalWeb"/>
              <w:jc w:val="center"/>
              <w:rPr>
                <w:b/>
                <w:bCs/>
              </w:rPr>
            </w:pPr>
            <w:r w:rsidRPr="001F4D5B">
              <w:rPr>
                <w:b/>
                <w:bCs/>
              </w:rPr>
              <w:t>Lundi</w:t>
            </w:r>
            <w:r w:rsidR="00D21B74">
              <w:rPr>
                <w:b/>
                <w:bCs/>
              </w:rPr>
              <w:t xml:space="preserve"> 27/04</w:t>
            </w:r>
          </w:p>
        </w:tc>
        <w:tc>
          <w:tcPr>
            <w:tcW w:w="2835" w:type="dxa"/>
          </w:tcPr>
          <w:p w14:paraId="1B3E1694" w14:textId="409BD2DD" w:rsidR="00D945DD" w:rsidRPr="001F4D5B" w:rsidRDefault="00D945DD" w:rsidP="008166FD">
            <w:pPr>
              <w:pStyle w:val="NormalWeb"/>
              <w:jc w:val="center"/>
              <w:rPr>
                <w:b/>
                <w:bCs/>
              </w:rPr>
            </w:pPr>
            <w:r w:rsidRPr="001F4D5B">
              <w:rPr>
                <w:b/>
                <w:bCs/>
              </w:rPr>
              <w:t>Mardi</w:t>
            </w:r>
            <w:r w:rsidR="00D21B74">
              <w:rPr>
                <w:b/>
                <w:bCs/>
              </w:rPr>
              <w:t xml:space="preserve"> 28/04</w:t>
            </w:r>
          </w:p>
        </w:tc>
        <w:tc>
          <w:tcPr>
            <w:tcW w:w="2409" w:type="dxa"/>
          </w:tcPr>
          <w:p w14:paraId="37F4EED4" w14:textId="60C83B74" w:rsidR="00D945DD" w:rsidRPr="001F4D5B" w:rsidRDefault="00D945DD" w:rsidP="008166FD">
            <w:pPr>
              <w:pStyle w:val="NormalWeb"/>
              <w:jc w:val="center"/>
              <w:rPr>
                <w:b/>
                <w:bCs/>
              </w:rPr>
            </w:pPr>
            <w:r w:rsidRPr="001F4D5B">
              <w:rPr>
                <w:b/>
                <w:bCs/>
              </w:rPr>
              <w:t>Jeudi</w:t>
            </w:r>
            <w:r w:rsidR="00D21B74">
              <w:rPr>
                <w:b/>
                <w:bCs/>
              </w:rPr>
              <w:t xml:space="preserve"> 30/04</w:t>
            </w:r>
          </w:p>
        </w:tc>
        <w:tc>
          <w:tcPr>
            <w:tcW w:w="1785" w:type="dxa"/>
          </w:tcPr>
          <w:p w14:paraId="4A7B044C" w14:textId="2D5F77DE" w:rsidR="00D945DD" w:rsidRPr="001F4D5B" w:rsidRDefault="00D945DD" w:rsidP="008166FD">
            <w:pPr>
              <w:pStyle w:val="NormalWeb"/>
              <w:jc w:val="center"/>
              <w:rPr>
                <w:b/>
                <w:bCs/>
              </w:rPr>
            </w:pPr>
            <w:r w:rsidRPr="001F4D5B">
              <w:rPr>
                <w:b/>
                <w:bCs/>
              </w:rPr>
              <w:t>Vendredi</w:t>
            </w:r>
            <w:r w:rsidR="00D21B74">
              <w:rPr>
                <w:b/>
                <w:bCs/>
              </w:rPr>
              <w:t xml:space="preserve"> 01/05</w:t>
            </w:r>
          </w:p>
        </w:tc>
      </w:tr>
      <w:tr w:rsidR="003B6EA8" w14:paraId="79F9823A" w14:textId="77777777" w:rsidTr="00B93A99">
        <w:tc>
          <w:tcPr>
            <w:tcW w:w="1838" w:type="dxa"/>
          </w:tcPr>
          <w:p w14:paraId="527931FC" w14:textId="77777777" w:rsidR="00D945DD" w:rsidRPr="00664A49" w:rsidRDefault="00D945DD" w:rsidP="008166FD">
            <w:pPr>
              <w:pStyle w:val="NormalWeb"/>
              <w:rPr>
                <w:b/>
                <w:bCs/>
              </w:rPr>
            </w:pPr>
            <w:r w:rsidRPr="00664A49">
              <w:rPr>
                <w:b/>
                <w:bCs/>
              </w:rPr>
              <w:t>Français</w:t>
            </w:r>
          </w:p>
        </w:tc>
        <w:tc>
          <w:tcPr>
            <w:tcW w:w="6521" w:type="dxa"/>
          </w:tcPr>
          <w:p w14:paraId="3F63E21B" w14:textId="72CC0CA3" w:rsidR="000D0A2E" w:rsidRDefault="00526A91" w:rsidP="00B81262">
            <w:pPr>
              <w:pStyle w:val="NormalWeb"/>
            </w:pPr>
            <w:r w:rsidRPr="000F05BE">
              <w:rPr>
                <w:b/>
                <w:bCs/>
                <w:u w:val="single"/>
              </w:rPr>
              <w:t>Revoir les leçons de</w:t>
            </w:r>
            <w:r w:rsidRPr="000F05BE">
              <w:rPr>
                <w:u w:val="single"/>
              </w:rPr>
              <w:t xml:space="preserve"> </w:t>
            </w:r>
            <w:r w:rsidRPr="000F05BE">
              <w:rPr>
                <w:b/>
                <w:bCs/>
                <w:u w:val="single"/>
              </w:rPr>
              <w:t>l’imparfait et du passé simple</w:t>
            </w:r>
            <w:r w:rsidRPr="000F05BE">
              <w:rPr>
                <w:u w:val="single"/>
              </w:rPr>
              <w:t xml:space="preserve">. </w:t>
            </w:r>
            <w:r>
              <w:t>Les réciter à un adulte. Manuel page 85 : lire l’encadré jaune + ex. 4, 5 et 6</w:t>
            </w:r>
          </w:p>
          <w:p w14:paraId="190DBB2F" w14:textId="566E4797" w:rsidR="000F05BE" w:rsidRDefault="000F05BE" w:rsidP="00B81262">
            <w:pPr>
              <w:pStyle w:val="NormalWeb"/>
            </w:pPr>
            <w:r w:rsidRPr="000F05BE">
              <w:rPr>
                <w:b/>
                <w:bCs/>
                <w:u w:val="single"/>
              </w:rPr>
              <w:t>Fichier de lecture silencieuse</w:t>
            </w:r>
            <w:r w:rsidRPr="000F05BE">
              <w:rPr>
                <w:u w:val="single"/>
              </w:rPr>
              <w:t> </w:t>
            </w:r>
            <w:r w:rsidRPr="000F05BE">
              <w:rPr>
                <w:b/>
                <w:bCs/>
                <w:u w:val="single"/>
              </w:rPr>
              <w:t>dans le livret des récits mythologiques</w:t>
            </w:r>
            <w:r w:rsidRPr="000F05BE">
              <w:rPr>
                <w:u w:val="single"/>
              </w:rPr>
              <w:t xml:space="preserve"> : </w:t>
            </w:r>
            <w:r w:rsidRPr="000F05BE">
              <w:rPr>
                <w:b/>
                <w:bCs/>
                <w:u w:val="single"/>
              </w:rPr>
              <w:t>le défi D’Arachné</w:t>
            </w:r>
            <w:r w:rsidRPr="000F05BE">
              <w:rPr>
                <w:b/>
                <w:bCs/>
                <w:bdr w:val="single" w:sz="4" w:space="0" w:color="auto"/>
              </w:rPr>
              <w:t xml:space="preserve"> 1</w:t>
            </w:r>
            <w:r>
              <w:t xml:space="preserve"> : lire 3 fois et répondre avec application à toutes les </w:t>
            </w:r>
            <w:r w:rsidRPr="000F05BE">
              <w:rPr>
                <w:b/>
                <w:bCs/>
              </w:rPr>
              <w:t>questions</w:t>
            </w:r>
            <w:r>
              <w:t xml:space="preserve">, puis </w:t>
            </w:r>
            <w:r w:rsidRPr="000F05BE">
              <w:rPr>
                <w:b/>
                <w:bCs/>
              </w:rPr>
              <w:t>corriger</w:t>
            </w:r>
            <w:r>
              <w:t xml:space="preserve">. Ensuite, avec la règle et les couleurs, </w:t>
            </w:r>
            <w:r w:rsidRPr="000F05BE">
              <w:rPr>
                <w:b/>
                <w:bCs/>
              </w:rPr>
              <w:t>souligner les verbes</w:t>
            </w:r>
            <w:r>
              <w:t xml:space="preserve"> au présent en bleu, au futur en vert, à l’imparfait en noir, au passé simple en rouge, a un autre temps du passé en jaune, à l’impératif en violet.</w:t>
            </w:r>
          </w:p>
          <w:p w14:paraId="4C3A85F1" w14:textId="0EB48BCD" w:rsidR="00526A91" w:rsidRDefault="00526A91" w:rsidP="00B81262">
            <w:pPr>
              <w:pStyle w:val="NormalWeb"/>
            </w:pPr>
          </w:p>
        </w:tc>
        <w:tc>
          <w:tcPr>
            <w:tcW w:w="2835" w:type="dxa"/>
          </w:tcPr>
          <w:p w14:paraId="3837E832" w14:textId="77777777" w:rsidR="000D0A2E" w:rsidRDefault="00526A91" w:rsidP="008166FD">
            <w:pPr>
              <w:pStyle w:val="NormalWeb"/>
            </w:pPr>
            <w:r>
              <w:t>Réciter les verbes appris au passé simple à un adulte + relire l’encadré jaune + Manuel p. 85 ex.7, 8</w:t>
            </w:r>
          </w:p>
          <w:p w14:paraId="53D391C4" w14:textId="17171DCE" w:rsidR="001B256C" w:rsidRDefault="001B256C" w:rsidP="001B256C">
            <w:pPr>
              <w:pStyle w:val="NormalWeb"/>
            </w:pPr>
            <w:r w:rsidRPr="000F05BE">
              <w:rPr>
                <w:b/>
                <w:bCs/>
                <w:u w:val="single"/>
              </w:rPr>
              <w:t>Fichier de lecture silencieuse</w:t>
            </w:r>
            <w:r>
              <w:rPr>
                <w:b/>
                <w:bCs/>
                <w:u w:val="single"/>
              </w:rPr>
              <w:t> </w:t>
            </w:r>
            <w:r>
              <w:rPr>
                <w:u w:val="single"/>
              </w:rPr>
              <w:t xml:space="preserve">: </w:t>
            </w:r>
            <w:r w:rsidRPr="001B256C">
              <w:rPr>
                <w:b/>
                <w:bCs/>
                <w:u w:val="single"/>
              </w:rPr>
              <w:t>L</w:t>
            </w:r>
            <w:r w:rsidRPr="000F05BE">
              <w:rPr>
                <w:b/>
                <w:bCs/>
                <w:u w:val="single"/>
              </w:rPr>
              <w:t>e défi D’Arachné</w:t>
            </w:r>
            <w:r w:rsidRPr="000F05BE">
              <w:rPr>
                <w:b/>
                <w:bCs/>
                <w:bdr w:val="single" w:sz="4" w:space="0" w:color="auto"/>
              </w:rPr>
              <w:t xml:space="preserve"> </w:t>
            </w:r>
            <w:r>
              <w:rPr>
                <w:b/>
                <w:bCs/>
                <w:bdr w:val="single" w:sz="4" w:space="0" w:color="auto"/>
              </w:rPr>
              <w:t>2</w:t>
            </w:r>
            <w:r>
              <w:t xml:space="preserve"> : lire 3 fois et répondre avec application à toutes les </w:t>
            </w:r>
            <w:r w:rsidRPr="000F05BE">
              <w:rPr>
                <w:b/>
                <w:bCs/>
              </w:rPr>
              <w:t>questions</w:t>
            </w:r>
            <w:r>
              <w:t xml:space="preserve">, puis </w:t>
            </w:r>
            <w:r w:rsidRPr="000F05BE">
              <w:rPr>
                <w:b/>
                <w:bCs/>
              </w:rPr>
              <w:t>corriger</w:t>
            </w:r>
            <w:r>
              <w:t xml:space="preserve">. Ensuite, avec la règle et les couleurs, </w:t>
            </w:r>
            <w:r w:rsidRPr="000F05BE">
              <w:rPr>
                <w:b/>
                <w:bCs/>
              </w:rPr>
              <w:t>souligner les verbes</w:t>
            </w:r>
            <w:r>
              <w:t xml:space="preserve"> au présent en bleu, au futur en vert, à l’imparfait en noir, au passé simple en rouge, a un autre temps du passé en jaune, à l’impératif en violet.</w:t>
            </w:r>
          </w:p>
          <w:p w14:paraId="2570305E" w14:textId="144F107B" w:rsidR="001B256C" w:rsidRDefault="001B256C" w:rsidP="008166FD">
            <w:pPr>
              <w:pStyle w:val="NormalWeb"/>
            </w:pPr>
          </w:p>
        </w:tc>
        <w:tc>
          <w:tcPr>
            <w:tcW w:w="2409" w:type="dxa"/>
          </w:tcPr>
          <w:p w14:paraId="088EA3C7" w14:textId="77777777" w:rsidR="000D0A2E" w:rsidRDefault="00526A91" w:rsidP="00B81262">
            <w:pPr>
              <w:pStyle w:val="NormalWeb"/>
            </w:pPr>
            <w:r>
              <w:t>Réciter les verbes appris à l’imparfait à un adulte + p. 85 ex.9 et p. 88 ex 1 et 2</w:t>
            </w:r>
          </w:p>
          <w:p w14:paraId="632DC994" w14:textId="49DFE1E5" w:rsidR="001B256C" w:rsidRDefault="001B256C" w:rsidP="001B256C">
            <w:pPr>
              <w:pStyle w:val="NormalWeb"/>
            </w:pPr>
            <w:r w:rsidRPr="000F05BE">
              <w:rPr>
                <w:b/>
                <w:bCs/>
                <w:u w:val="single"/>
              </w:rPr>
              <w:t>Fichier de lecture silencieuse</w:t>
            </w:r>
            <w:r>
              <w:rPr>
                <w:b/>
                <w:bCs/>
                <w:u w:val="single"/>
              </w:rPr>
              <w:t> </w:t>
            </w:r>
            <w:r>
              <w:rPr>
                <w:u w:val="single"/>
              </w:rPr>
              <w:t xml:space="preserve">: </w:t>
            </w:r>
            <w:r w:rsidRPr="001B256C">
              <w:rPr>
                <w:b/>
                <w:bCs/>
                <w:u w:val="single"/>
              </w:rPr>
              <w:t>L</w:t>
            </w:r>
            <w:r w:rsidRPr="000F05BE">
              <w:rPr>
                <w:b/>
                <w:bCs/>
                <w:u w:val="single"/>
              </w:rPr>
              <w:t>e défi D’Arachné</w:t>
            </w:r>
            <w:r w:rsidRPr="000F05BE">
              <w:rPr>
                <w:b/>
                <w:bCs/>
                <w:bdr w:val="single" w:sz="4" w:space="0" w:color="auto"/>
              </w:rPr>
              <w:t xml:space="preserve"> </w:t>
            </w:r>
            <w:r w:rsidR="00E4602D">
              <w:rPr>
                <w:b/>
                <w:bCs/>
                <w:bdr w:val="single" w:sz="4" w:space="0" w:color="auto"/>
              </w:rPr>
              <w:t>3</w:t>
            </w:r>
            <w:r>
              <w:t xml:space="preserve"> : lire 3 fois et répondre avec application à toutes les </w:t>
            </w:r>
            <w:r w:rsidRPr="000F05BE">
              <w:rPr>
                <w:b/>
                <w:bCs/>
              </w:rPr>
              <w:t>questions</w:t>
            </w:r>
            <w:r>
              <w:t xml:space="preserve">, puis </w:t>
            </w:r>
            <w:r w:rsidRPr="000F05BE">
              <w:rPr>
                <w:b/>
                <w:bCs/>
              </w:rPr>
              <w:t>corriger</w:t>
            </w:r>
            <w:r>
              <w:t xml:space="preserve">. Ensuite, avec la règle et les couleurs, </w:t>
            </w:r>
            <w:r w:rsidRPr="000F05BE">
              <w:rPr>
                <w:b/>
                <w:bCs/>
              </w:rPr>
              <w:t>souligner les verbes</w:t>
            </w:r>
            <w:r>
              <w:t xml:space="preserve"> au présent en bleu, au futur en vert, à l’imparfait en noir, au passé simple en rouge, a un autre temps du passé en jaune, à l’impératif en violet.</w:t>
            </w:r>
          </w:p>
          <w:p w14:paraId="7883068A" w14:textId="46781A1D" w:rsidR="001B256C" w:rsidRDefault="001B256C" w:rsidP="00B81262">
            <w:pPr>
              <w:pStyle w:val="NormalWeb"/>
            </w:pPr>
          </w:p>
        </w:tc>
        <w:tc>
          <w:tcPr>
            <w:tcW w:w="1785" w:type="dxa"/>
          </w:tcPr>
          <w:p w14:paraId="75641E5B" w14:textId="77777777" w:rsidR="007C251F" w:rsidRDefault="007C251F" w:rsidP="007C251F">
            <w:pPr>
              <w:pStyle w:val="NormalWeb"/>
              <w:jc w:val="center"/>
              <w:rPr>
                <w:b/>
                <w:bCs/>
              </w:rPr>
            </w:pPr>
          </w:p>
          <w:p w14:paraId="23BE2642" w14:textId="49705470" w:rsidR="00331079" w:rsidRPr="007C251F" w:rsidRDefault="007C251F" w:rsidP="007C251F">
            <w:pPr>
              <w:pStyle w:val="NormalWeb"/>
              <w:jc w:val="center"/>
              <w:rPr>
                <w:b/>
                <w:bCs/>
              </w:rPr>
            </w:pPr>
            <w:r w:rsidRPr="007C251F">
              <w:rPr>
                <w:b/>
                <w:bCs/>
              </w:rPr>
              <w:t>PREMIER MAI</w:t>
            </w:r>
          </w:p>
          <w:p w14:paraId="2183696E" w14:textId="4206ED0A" w:rsidR="007C251F" w:rsidRDefault="007C251F" w:rsidP="007C251F">
            <w:pPr>
              <w:pStyle w:val="NormalWeb"/>
              <w:jc w:val="center"/>
              <w:rPr>
                <w:b/>
                <w:bCs/>
              </w:rPr>
            </w:pPr>
            <w:r w:rsidRPr="007C251F">
              <w:rPr>
                <w:b/>
                <w:bCs/>
              </w:rPr>
              <w:t>FËTE DU TRAVAIL</w:t>
            </w:r>
          </w:p>
          <w:p w14:paraId="1EC07C4A" w14:textId="622214A5" w:rsidR="00A25401" w:rsidRDefault="001E5117" w:rsidP="007C251F">
            <w:pPr>
              <w:pStyle w:val="NormalWeb"/>
              <w:jc w:val="center"/>
              <w:rPr>
                <w:b/>
                <w:bCs/>
              </w:rPr>
            </w:pPr>
            <w:hyperlink r:id="rId4" w:history="1">
              <w:r w:rsidR="00A25401" w:rsidRPr="004E72A4">
                <w:rPr>
                  <w:rStyle w:val="Lienhypertexte"/>
                  <w:b/>
                  <w:bCs/>
                </w:rPr>
                <w:t>https://www.lumni.fr/video/pourquoi-y-a-t-il-une-fete-du-travail</w:t>
              </w:r>
            </w:hyperlink>
          </w:p>
          <w:p w14:paraId="4496CDCA" w14:textId="77777777" w:rsidR="00A25401" w:rsidRDefault="00A25401" w:rsidP="007C251F">
            <w:pPr>
              <w:pStyle w:val="NormalWeb"/>
              <w:jc w:val="center"/>
              <w:rPr>
                <w:b/>
                <w:bCs/>
              </w:rPr>
            </w:pPr>
          </w:p>
          <w:p w14:paraId="4B82F4E3" w14:textId="571D7E4E" w:rsidR="007C251F" w:rsidRDefault="007C251F" w:rsidP="007C251F">
            <w:pPr>
              <w:pStyle w:val="NormalWeb"/>
              <w:jc w:val="center"/>
            </w:pPr>
          </w:p>
        </w:tc>
      </w:tr>
      <w:tr w:rsidR="003B6EA8" w14:paraId="436BC179" w14:textId="77777777" w:rsidTr="00B93A99">
        <w:tc>
          <w:tcPr>
            <w:tcW w:w="1838" w:type="dxa"/>
          </w:tcPr>
          <w:p w14:paraId="7405DC22" w14:textId="77777777" w:rsidR="00D945DD" w:rsidRPr="00664A49" w:rsidRDefault="00D945DD" w:rsidP="008166FD">
            <w:pPr>
              <w:pStyle w:val="NormalWeb"/>
              <w:rPr>
                <w:b/>
                <w:bCs/>
              </w:rPr>
            </w:pPr>
            <w:r w:rsidRPr="00664A49">
              <w:rPr>
                <w:b/>
                <w:bCs/>
              </w:rPr>
              <w:t>Mathématiques</w:t>
            </w:r>
          </w:p>
        </w:tc>
        <w:tc>
          <w:tcPr>
            <w:tcW w:w="6521" w:type="dxa"/>
          </w:tcPr>
          <w:p w14:paraId="190B5CED" w14:textId="29FA8878" w:rsidR="00331079" w:rsidRDefault="00E62A37" w:rsidP="00331079">
            <w:pPr>
              <w:pStyle w:val="NormalWeb"/>
            </w:pPr>
            <w:r>
              <w:t>Découverte des fracti</w:t>
            </w:r>
            <w:r w:rsidR="00B67784">
              <w:t>ons : révisions du CM1</w:t>
            </w:r>
            <w:r>
              <w:t>visionner</w:t>
            </w:r>
            <w:r w:rsidR="00EB1C67">
              <w:t xml:space="preserve"> les vidéo</w:t>
            </w:r>
            <w:r w:rsidR="00B67784">
              <w:t>s</w:t>
            </w:r>
            <w:r w:rsidR="00EB1C67">
              <w:t xml:space="preserve"> plusieurs fois</w:t>
            </w:r>
            <w:r w:rsidR="00B67784">
              <w:t> :</w:t>
            </w:r>
          </w:p>
          <w:p w14:paraId="5411D5CB" w14:textId="63DEDE59" w:rsidR="00E62A37" w:rsidRDefault="001E5117" w:rsidP="00331079">
            <w:pPr>
              <w:pStyle w:val="NormalWeb"/>
            </w:pPr>
            <w:hyperlink r:id="rId5" w:history="1">
              <w:r w:rsidR="00E62A37" w:rsidRPr="00437CE3">
                <w:rPr>
                  <w:rStyle w:val="Lienhypertexte"/>
                </w:rPr>
                <w:t>https://www.lumni.fr/video/fractions-partage-equitable</w:t>
              </w:r>
            </w:hyperlink>
          </w:p>
          <w:p w14:paraId="7804F018" w14:textId="4383B076" w:rsidR="00B67784" w:rsidRDefault="001E5117" w:rsidP="00331079">
            <w:pPr>
              <w:pStyle w:val="NormalWeb"/>
            </w:pPr>
            <w:hyperlink r:id="rId6" w:history="1">
              <w:r w:rsidR="00B67784" w:rsidRPr="00437CE3">
                <w:rPr>
                  <w:rStyle w:val="Lienhypertexte"/>
                </w:rPr>
                <w:t>https://www.youtube.com/watch?v=ZAytqZmzbnw</w:t>
              </w:r>
            </w:hyperlink>
          </w:p>
          <w:p w14:paraId="570FB64D" w14:textId="66392C71" w:rsidR="00E62A37" w:rsidRDefault="001E5117" w:rsidP="00331079">
            <w:pPr>
              <w:pStyle w:val="NormalWeb"/>
            </w:pPr>
            <w:hyperlink r:id="rId7" w:history="1">
              <w:r w:rsidR="00B67784" w:rsidRPr="00437CE3">
                <w:rPr>
                  <w:rStyle w:val="Lienhypertexte"/>
                </w:rPr>
                <w:t>https://www.youtube.com/watch?v=jv4GsgLS2QY</w:t>
              </w:r>
            </w:hyperlink>
          </w:p>
          <w:p w14:paraId="40DD84C5" w14:textId="18B0DF0B" w:rsidR="00EB1C67" w:rsidRDefault="0054779D" w:rsidP="00331079">
            <w:pPr>
              <w:pStyle w:val="NormalWeb"/>
            </w:pPr>
            <w:r>
              <w:t xml:space="preserve">Apprends la leçon Bout de Gomme </w:t>
            </w:r>
            <w:r w:rsidRPr="000E736B">
              <w:rPr>
                <w:u w:val="single"/>
              </w:rPr>
              <w:t>Les fractions simples</w:t>
            </w:r>
            <w:r>
              <w:t xml:space="preserve"> et effectue les 2 entraînements. </w:t>
            </w:r>
            <w:r w:rsidR="00DA3D90">
              <w:t xml:space="preserve">Ton manuel de mathématiques ne reprends pas les notions de bases. J’ai scanné des pages </w:t>
            </w:r>
            <w:r w:rsidR="00DA3D90" w:rsidRPr="00DA3D90">
              <w:rPr>
                <w:u w:val="single"/>
              </w:rPr>
              <w:t>d’Outils pour les maths CM2</w:t>
            </w:r>
            <w:r w:rsidR="00DA3D90">
              <w:t xml:space="preserve"> qui sont plus adaptées. Lis, essaye de </w:t>
            </w:r>
            <w:r w:rsidR="00DA3D90">
              <w:lastRenderedPageBreak/>
              <w:t xml:space="preserve">comprendre puis recopie avec soin la leçon </w:t>
            </w:r>
            <w:r w:rsidR="00DA3D90" w:rsidRPr="00DA3D90">
              <w:rPr>
                <w:u w:val="single"/>
              </w:rPr>
              <w:t>Je retiens</w:t>
            </w:r>
            <w:r w:rsidR="007025E6">
              <w:rPr>
                <w:u w:val="single"/>
              </w:rPr>
              <w:t xml:space="preserve"> page 22</w:t>
            </w:r>
            <w:r w:rsidR="00DA3D90">
              <w:t xml:space="preserve"> dans ton cahier de maths en mettant comme titre </w:t>
            </w:r>
            <w:r w:rsidR="00DA3D90" w:rsidRPr="00DA3D90">
              <w:rPr>
                <w:u w:val="single"/>
              </w:rPr>
              <w:t>Les fractions</w:t>
            </w:r>
            <w:r w:rsidR="00DA3D90">
              <w:t>. Apprends la leçon puis effectue les exercices Cherchons, ex.1</w:t>
            </w:r>
            <w:r w:rsidR="007025E6">
              <w:t>,</w:t>
            </w:r>
            <w:r w:rsidR="00DA3D90">
              <w:t xml:space="preserve"> 2</w:t>
            </w:r>
            <w:r w:rsidR="007025E6">
              <w:t xml:space="preserve">, 3 et 4 </w:t>
            </w:r>
          </w:p>
        </w:tc>
        <w:tc>
          <w:tcPr>
            <w:tcW w:w="2835" w:type="dxa"/>
          </w:tcPr>
          <w:p w14:paraId="03955D29" w14:textId="29B2FFCD" w:rsidR="007025E6" w:rsidRDefault="007025E6" w:rsidP="004E64AC">
            <w:pPr>
              <w:pStyle w:val="NormalWeb"/>
            </w:pPr>
            <w:r>
              <w:lastRenderedPageBreak/>
              <w:t>Récite la leçon des fractions à un adulte. Puis effectue les exercices 5 à10 p.23 et le Défi Maths.</w:t>
            </w:r>
          </w:p>
        </w:tc>
        <w:tc>
          <w:tcPr>
            <w:tcW w:w="2409" w:type="dxa"/>
          </w:tcPr>
          <w:p w14:paraId="1733008C" w14:textId="37084AD6" w:rsidR="00B81262" w:rsidRDefault="005A131D" w:rsidP="00B81262">
            <w:pPr>
              <w:pStyle w:val="NormalWeb"/>
            </w:pPr>
            <w:r>
              <w:t xml:space="preserve">Lis, essaye de comprendre puis recopie avec soin la leçon </w:t>
            </w:r>
            <w:r w:rsidRPr="00DA3D90">
              <w:rPr>
                <w:u w:val="single"/>
              </w:rPr>
              <w:t>Je retiens</w:t>
            </w:r>
            <w:r>
              <w:rPr>
                <w:u w:val="single"/>
              </w:rPr>
              <w:t xml:space="preserve"> page 24</w:t>
            </w:r>
            <w:r>
              <w:t xml:space="preserve"> dans ton cahier de maths, c’est la suite de la leçon </w:t>
            </w:r>
            <w:r w:rsidRPr="00DA3D90">
              <w:rPr>
                <w:u w:val="single"/>
              </w:rPr>
              <w:t>Les fractions</w:t>
            </w:r>
            <w:r>
              <w:t>. Apprends la leçon puis effectue les exercices Cherchons, ex.1, 2, 3.</w:t>
            </w:r>
          </w:p>
        </w:tc>
        <w:tc>
          <w:tcPr>
            <w:tcW w:w="1785" w:type="dxa"/>
          </w:tcPr>
          <w:p w14:paraId="3465E0BF" w14:textId="26D83BE9" w:rsidR="00FF0C5A" w:rsidRDefault="00FF0C5A" w:rsidP="008166FD">
            <w:pPr>
              <w:pStyle w:val="NormalWeb"/>
            </w:pPr>
          </w:p>
        </w:tc>
      </w:tr>
      <w:tr w:rsidR="003B6EA8" w14:paraId="5DC82063" w14:textId="77777777" w:rsidTr="00B93A99">
        <w:tc>
          <w:tcPr>
            <w:tcW w:w="1838" w:type="dxa"/>
          </w:tcPr>
          <w:p w14:paraId="17EA20BE" w14:textId="77777777" w:rsidR="00AE0877" w:rsidRPr="00664A49" w:rsidRDefault="00AE0877" w:rsidP="00AE0877">
            <w:pPr>
              <w:pStyle w:val="NormalWeb"/>
              <w:rPr>
                <w:b/>
                <w:bCs/>
              </w:rPr>
            </w:pPr>
            <w:r w:rsidRPr="00664A49">
              <w:rPr>
                <w:b/>
                <w:bCs/>
              </w:rPr>
              <w:t>Géométrie</w:t>
            </w:r>
          </w:p>
        </w:tc>
        <w:tc>
          <w:tcPr>
            <w:tcW w:w="6521" w:type="dxa"/>
          </w:tcPr>
          <w:p w14:paraId="34B06852" w14:textId="0C18AC80" w:rsidR="0061065C" w:rsidRDefault="00521744" w:rsidP="00AE0877">
            <w:pPr>
              <w:pStyle w:val="NormalWeb"/>
            </w:pPr>
            <w:r w:rsidRPr="00521744">
              <w:rPr>
                <w:b/>
                <w:bCs/>
              </w:rPr>
              <w:t>Les triangles</w:t>
            </w:r>
            <w:r>
              <w:t> :</w:t>
            </w:r>
            <w:r w:rsidR="00B95AEA">
              <w:t xml:space="preserve"> Visionner </w:t>
            </w:r>
            <w:r w:rsidR="00D95194">
              <w:t xml:space="preserve"> les vidéos </w:t>
            </w:r>
            <w:r w:rsidR="00B95AEA">
              <w:t>LUMNI :</w:t>
            </w:r>
          </w:p>
          <w:p w14:paraId="200FA73B" w14:textId="6CA69660" w:rsidR="00B95AEA" w:rsidRDefault="001E5117" w:rsidP="00AE0877">
            <w:pPr>
              <w:pStyle w:val="NormalWeb"/>
            </w:pPr>
            <w:hyperlink r:id="rId8" w:history="1">
              <w:r w:rsidR="00B95AEA" w:rsidRPr="00F65209">
                <w:rPr>
                  <w:rStyle w:val="Lienhypertexte"/>
                </w:rPr>
                <w:t>https://www.lumni.fr/video/distinguer-triangle-et-quadrilatere</w:t>
              </w:r>
            </w:hyperlink>
          </w:p>
          <w:p w14:paraId="3DB8C388" w14:textId="2032E703" w:rsidR="00B95AEA" w:rsidRDefault="001E5117" w:rsidP="00AE0877">
            <w:pPr>
              <w:pStyle w:val="NormalWeb"/>
            </w:pPr>
            <w:hyperlink r:id="rId9" w:history="1">
              <w:r w:rsidR="007D0DC9" w:rsidRPr="00F65209">
                <w:rPr>
                  <w:rStyle w:val="Lienhypertexte"/>
                </w:rPr>
                <w:t>https://www.lumni.fr/video/decrire-un-triangle-rectangle</w:t>
              </w:r>
            </w:hyperlink>
          </w:p>
          <w:p w14:paraId="2946ED33" w14:textId="17A692F5" w:rsidR="00D95194" w:rsidRDefault="001E5117" w:rsidP="00AE0877">
            <w:pPr>
              <w:pStyle w:val="NormalWeb"/>
            </w:pPr>
            <w:hyperlink r:id="rId10" w:history="1">
              <w:r w:rsidR="00D95194" w:rsidRPr="00F65209">
                <w:rPr>
                  <w:rStyle w:val="Lienhypertexte"/>
                </w:rPr>
                <w:t>https://www.lumni.fr/video/reconnaitre-un-triangle-isocele</w:t>
              </w:r>
            </w:hyperlink>
          </w:p>
          <w:p w14:paraId="69BD40F7" w14:textId="299E744E" w:rsidR="00D95194" w:rsidRDefault="001E5117" w:rsidP="00AE0877">
            <w:pPr>
              <w:pStyle w:val="NormalWeb"/>
            </w:pPr>
            <w:hyperlink r:id="rId11" w:history="1">
              <w:r w:rsidR="00D95194" w:rsidRPr="00F65209">
                <w:rPr>
                  <w:rStyle w:val="Lienhypertexte"/>
                </w:rPr>
                <w:t>https://www.lumni.fr/video/decrire-un-triangle-isocele</w:t>
              </w:r>
            </w:hyperlink>
          </w:p>
          <w:p w14:paraId="3485CE5C" w14:textId="0D40BC8C" w:rsidR="00AE0877" w:rsidRDefault="00521744" w:rsidP="00AE0877">
            <w:pPr>
              <w:pStyle w:val="NormalWeb"/>
            </w:pPr>
            <w:r>
              <w:t xml:space="preserve"> </w:t>
            </w:r>
            <w:r w:rsidR="0061065C">
              <w:t xml:space="preserve">Apprendre et réciter à un adulte la leçon des triangles </w:t>
            </w:r>
            <w:r w:rsidR="003D7D33">
              <w:t xml:space="preserve">puis faire l’entraînement </w:t>
            </w:r>
            <w:r w:rsidR="0061065C">
              <w:t xml:space="preserve">+ </w:t>
            </w:r>
            <w:r>
              <w:t>P. 84 lire et débattre, Chercher, Mémo</w:t>
            </w:r>
            <w:r w:rsidR="0061065C">
              <w:t xml:space="preserve"> et coin du Chercheur</w:t>
            </w:r>
            <w:r w:rsidR="00376FF7">
              <w:t xml:space="preserve"> + corriger</w:t>
            </w:r>
          </w:p>
        </w:tc>
        <w:tc>
          <w:tcPr>
            <w:tcW w:w="2835" w:type="dxa"/>
          </w:tcPr>
          <w:p w14:paraId="4E85A031" w14:textId="77777777" w:rsidR="0061065C" w:rsidRDefault="0061065C" w:rsidP="0061065C">
            <w:pPr>
              <w:pStyle w:val="NormalWeb"/>
            </w:pPr>
            <w:r w:rsidRPr="00521744">
              <w:rPr>
                <w:b/>
                <w:bCs/>
              </w:rPr>
              <w:t>Les triangles</w:t>
            </w:r>
            <w:r>
              <w:t> :</w:t>
            </w:r>
          </w:p>
          <w:p w14:paraId="3448C3FD" w14:textId="5728F5DD" w:rsidR="00511F40" w:rsidRDefault="0061065C" w:rsidP="0061065C">
            <w:pPr>
              <w:pStyle w:val="NormalWeb"/>
            </w:pPr>
            <w:r>
              <w:t xml:space="preserve"> Apprendre et réciter à un adulte la leçon des triangles + P. 85 ex. 1,2,3 et calcul réfléchi</w:t>
            </w:r>
          </w:p>
        </w:tc>
        <w:tc>
          <w:tcPr>
            <w:tcW w:w="2409" w:type="dxa"/>
          </w:tcPr>
          <w:p w14:paraId="4572AA22" w14:textId="77777777" w:rsidR="0061065C" w:rsidRDefault="0061065C" w:rsidP="0061065C">
            <w:pPr>
              <w:pStyle w:val="NormalWeb"/>
            </w:pPr>
            <w:r w:rsidRPr="00521744">
              <w:rPr>
                <w:b/>
                <w:bCs/>
              </w:rPr>
              <w:t>Les triangles</w:t>
            </w:r>
            <w:r>
              <w:t> :</w:t>
            </w:r>
          </w:p>
          <w:p w14:paraId="2C30F878" w14:textId="5F52F950" w:rsidR="003D7D33" w:rsidRDefault="0061065C" w:rsidP="0061065C">
            <w:pPr>
              <w:pStyle w:val="NormalWeb"/>
            </w:pPr>
            <w:r>
              <w:t xml:space="preserve"> Apprendre et réciter à un adulte la leçon des triangles + P. 85 ex. 4 et </w:t>
            </w:r>
            <w:r w:rsidR="003D7D33">
              <w:t>5.</w:t>
            </w:r>
          </w:p>
        </w:tc>
        <w:tc>
          <w:tcPr>
            <w:tcW w:w="1785" w:type="dxa"/>
          </w:tcPr>
          <w:p w14:paraId="52F6B69A" w14:textId="0B26BACD" w:rsidR="00B31E89" w:rsidRDefault="00B31E89" w:rsidP="00717BA1">
            <w:pPr>
              <w:pStyle w:val="NormalWeb"/>
            </w:pPr>
          </w:p>
        </w:tc>
      </w:tr>
    </w:tbl>
    <w:p w14:paraId="618F6C20" w14:textId="77777777" w:rsidR="00D945DD" w:rsidRPr="009804C6" w:rsidRDefault="00D945DD" w:rsidP="00D945DD">
      <w:pPr>
        <w:pStyle w:val="NormalWeb"/>
      </w:pPr>
    </w:p>
    <w:tbl>
      <w:tblPr>
        <w:tblStyle w:val="Grilledutableau"/>
        <w:tblW w:w="0" w:type="auto"/>
        <w:tblLook w:val="04A0" w:firstRow="1" w:lastRow="0" w:firstColumn="1" w:lastColumn="0" w:noHBand="0" w:noVBand="1"/>
      </w:tblPr>
      <w:tblGrid>
        <w:gridCol w:w="1696"/>
        <w:gridCol w:w="13692"/>
      </w:tblGrid>
      <w:tr w:rsidR="00EB3DBE" w14:paraId="028D3C4C" w14:textId="77777777" w:rsidTr="00EB3DBE">
        <w:tc>
          <w:tcPr>
            <w:tcW w:w="1696" w:type="dxa"/>
          </w:tcPr>
          <w:p w14:paraId="4398BDED" w14:textId="44C10A25" w:rsidR="00EB3DBE" w:rsidRPr="00EB3DBE" w:rsidRDefault="00EB3DBE">
            <w:pPr>
              <w:rPr>
                <w:rFonts w:ascii="Arial" w:hAnsi="Arial" w:cs="Arial"/>
                <w:b/>
                <w:bCs/>
                <w:sz w:val="24"/>
                <w:szCs w:val="24"/>
              </w:rPr>
            </w:pPr>
            <w:r w:rsidRPr="00EB3DBE">
              <w:rPr>
                <w:rFonts w:ascii="Arial" w:hAnsi="Arial" w:cs="Arial"/>
                <w:b/>
                <w:bCs/>
                <w:sz w:val="24"/>
                <w:szCs w:val="24"/>
              </w:rPr>
              <w:t>Géographie</w:t>
            </w:r>
          </w:p>
        </w:tc>
        <w:tc>
          <w:tcPr>
            <w:tcW w:w="13692" w:type="dxa"/>
          </w:tcPr>
          <w:p w14:paraId="2B200FB8" w14:textId="13784713" w:rsidR="00AF0283" w:rsidRDefault="007C251F" w:rsidP="00842A0D">
            <w:pPr>
              <w:rPr>
                <w:rFonts w:ascii="Arial" w:hAnsi="Arial" w:cs="Arial"/>
                <w:sz w:val="24"/>
                <w:szCs w:val="24"/>
              </w:rPr>
            </w:pPr>
            <w:r>
              <w:rPr>
                <w:rFonts w:ascii="Arial" w:hAnsi="Arial" w:cs="Arial"/>
                <w:sz w:val="24"/>
                <w:szCs w:val="24"/>
              </w:rPr>
              <w:t xml:space="preserve">Prendre le cahier de géographie et relire les leçons concernant les déplacements en bateaux. Réciter les mots de vocabulaire et se faire interroger sur la leçon avant de poursuivre. </w:t>
            </w:r>
            <w:r w:rsidR="00E33AFB">
              <w:rPr>
                <w:rFonts w:ascii="Arial" w:hAnsi="Arial" w:cs="Arial"/>
                <w:sz w:val="24"/>
                <w:szCs w:val="24"/>
              </w:rPr>
              <w:t xml:space="preserve"> Lire les documents</w:t>
            </w:r>
            <w:r w:rsidR="00C9380E">
              <w:rPr>
                <w:rFonts w:ascii="Arial" w:hAnsi="Arial" w:cs="Arial"/>
                <w:sz w:val="24"/>
                <w:szCs w:val="24"/>
              </w:rPr>
              <w:t xml:space="preserve"> 1 et 2</w:t>
            </w:r>
            <w:r w:rsidR="00E33AFB">
              <w:rPr>
                <w:rFonts w:ascii="Arial" w:hAnsi="Arial" w:cs="Arial"/>
                <w:sz w:val="24"/>
                <w:szCs w:val="24"/>
              </w:rPr>
              <w:t xml:space="preserve"> du transport fluvial et maritime.</w:t>
            </w:r>
            <w:r w:rsidR="00C9380E">
              <w:rPr>
                <w:rFonts w:ascii="Arial" w:hAnsi="Arial" w:cs="Arial"/>
                <w:sz w:val="24"/>
                <w:szCs w:val="24"/>
              </w:rPr>
              <w:t xml:space="preserve"> Faire les exercices du document 3. Recopier la leçon dans le cahier de géographie, très soigneusement. Regarder C’est pas sorcier Le port de Rotterdam plus grand port du Monde en complétant le questionnaire joint.</w:t>
            </w:r>
          </w:p>
          <w:p w14:paraId="55BB03CA" w14:textId="70CCA8D1" w:rsidR="00D1362B" w:rsidRDefault="001E5117" w:rsidP="0072185B">
            <w:pPr>
              <w:pStyle w:val="Paragraphedeliste"/>
              <w:rPr>
                <w:rFonts w:ascii="Arial" w:hAnsi="Arial" w:cs="Arial"/>
                <w:sz w:val="24"/>
                <w:szCs w:val="24"/>
              </w:rPr>
            </w:pPr>
            <w:hyperlink r:id="rId12" w:history="1">
              <w:r w:rsidR="0072185B">
                <w:rPr>
                  <w:rStyle w:val="Lienhypertexte"/>
                  <w:rFonts w:ascii="Arial" w:hAnsi="Arial" w:cs="Arial"/>
                  <w:sz w:val="24"/>
                  <w:szCs w:val="24"/>
                </w:rPr>
                <w:t>https://www.youtube.com/watch?v=oQryUQ5U8Ik</w:t>
              </w:r>
            </w:hyperlink>
          </w:p>
        </w:tc>
      </w:tr>
      <w:tr w:rsidR="00935F83" w14:paraId="26365921" w14:textId="77777777" w:rsidTr="00EB3DBE">
        <w:tc>
          <w:tcPr>
            <w:tcW w:w="1696" w:type="dxa"/>
          </w:tcPr>
          <w:p w14:paraId="66910A20" w14:textId="403E867D" w:rsidR="00935F83" w:rsidRPr="00EB3DBE" w:rsidRDefault="00935F83">
            <w:pPr>
              <w:rPr>
                <w:rFonts w:ascii="Arial" w:hAnsi="Arial" w:cs="Arial"/>
                <w:b/>
                <w:bCs/>
                <w:sz w:val="24"/>
                <w:szCs w:val="24"/>
              </w:rPr>
            </w:pPr>
            <w:r>
              <w:rPr>
                <w:rFonts w:ascii="Arial" w:hAnsi="Arial" w:cs="Arial"/>
                <w:b/>
                <w:bCs/>
                <w:sz w:val="24"/>
                <w:szCs w:val="24"/>
              </w:rPr>
              <w:t>Histoire</w:t>
            </w:r>
          </w:p>
        </w:tc>
        <w:tc>
          <w:tcPr>
            <w:tcW w:w="13692" w:type="dxa"/>
          </w:tcPr>
          <w:p w14:paraId="0E5F5C5C" w14:textId="7D76BC7F" w:rsidR="007C251F" w:rsidRPr="00665B55" w:rsidRDefault="007B25C2">
            <w:pPr>
              <w:rPr>
                <w:rFonts w:ascii="Arial" w:hAnsi="Arial" w:cs="Arial"/>
                <w:sz w:val="24"/>
                <w:szCs w:val="24"/>
              </w:rPr>
            </w:pPr>
            <w:r>
              <w:rPr>
                <w:rFonts w:ascii="Arial" w:hAnsi="Arial" w:cs="Arial"/>
                <w:sz w:val="24"/>
                <w:szCs w:val="24"/>
              </w:rPr>
              <w:t>P</w:t>
            </w:r>
            <w:r w:rsidR="00935CE9" w:rsidRPr="00935CE9">
              <w:rPr>
                <w:rFonts w:ascii="Arial" w:hAnsi="Arial" w:cs="Arial"/>
                <w:sz w:val="24"/>
                <w:szCs w:val="24"/>
              </w:rPr>
              <w:t xml:space="preserve">rends le </w:t>
            </w:r>
            <w:r w:rsidR="00935CE9" w:rsidRPr="00935CE9">
              <w:rPr>
                <w:rFonts w:ascii="Arial" w:hAnsi="Arial" w:cs="Arial"/>
                <w:sz w:val="24"/>
                <w:szCs w:val="24"/>
                <w:u w:val="single"/>
              </w:rPr>
              <w:t>questionnaire C’est pas sorcier</w:t>
            </w:r>
            <w:r w:rsidR="00935CE9" w:rsidRPr="00935CE9">
              <w:rPr>
                <w:rFonts w:ascii="Arial" w:hAnsi="Arial" w:cs="Arial"/>
                <w:sz w:val="24"/>
                <w:szCs w:val="24"/>
              </w:rPr>
              <w:t>.</w:t>
            </w:r>
            <w:r w:rsidR="00935CE9">
              <w:rPr>
                <w:rFonts w:ascii="Arial" w:hAnsi="Arial" w:cs="Arial"/>
                <w:sz w:val="24"/>
                <w:szCs w:val="24"/>
              </w:rPr>
              <w:t xml:space="preserve"> C’est un texte à trous que tu complèteras au crayon en regardant l’émission </w:t>
            </w:r>
            <w:r w:rsidR="00935CE9" w:rsidRPr="00935CE9">
              <w:rPr>
                <w:rFonts w:ascii="Arial" w:hAnsi="Arial" w:cs="Arial"/>
                <w:b/>
                <w:bCs/>
                <w:sz w:val="24"/>
                <w:szCs w:val="24"/>
              </w:rPr>
              <w:t>par petites</w:t>
            </w:r>
            <w:r w:rsidR="00935CE9">
              <w:rPr>
                <w:rFonts w:ascii="Arial" w:hAnsi="Arial" w:cs="Arial"/>
                <w:sz w:val="24"/>
                <w:szCs w:val="24"/>
              </w:rPr>
              <w:t xml:space="preserve"> </w:t>
            </w:r>
            <w:r w:rsidR="00935CE9" w:rsidRPr="00935CE9">
              <w:rPr>
                <w:rFonts w:ascii="Arial" w:hAnsi="Arial" w:cs="Arial"/>
                <w:b/>
                <w:bCs/>
                <w:sz w:val="24"/>
                <w:szCs w:val="24"/>
              </w:rPr>
              <w:t>séquences</w:t>
            </w:r>
            <w:r w:rsidR="00935CE9">
              <w:rPr>
                <w:rFonts w:ascii="Arial" w:hAnsi="Arial" w:cs="Arial"/>
                <w:sz w:val="24"/>
                <w:szCs w:val="24"/>
              </w:rPr>
              <w:t xml:space="preserve">. </w:t>
            </w:r>
            <w:r w:rsidR="00D460AB">
              <w:rPr>
                <w:rFonts w:ascii="Arial" w:hAnsi="Arial" w:cs="Arial"/>
                <w:sz w:val="24"/>
                <w:szCs w:val="24"/>
              </w:rPr>
              <w:t xml:space="preserve">Aide-toi aussi de la fiche vocabulaire. </w:t>
            </w:r>
            <w:r w:rsidR="00935CE9">
              <w:rPr>
                <w:rFonts w:ascii="Arial" w:hAnsi="Arial" w:cs="Arial"/>
                <w:sz w:val="24"/>
                <w:szCs w:val="24"/>
              </w:rPr>
              <w:t xml:space="preserve">Lorsque tu corrigeras, tu mettras les réponses au stylo car ce sera également ta leçon à placer dans le cahier d’histoire. </w:t>
            </w:r>
            <w:r w:rsidRPr="007B25C2">
              <w:rPr>
                <w:rFonts w:ascii="Arial" w:hAnsi="Arial" w:cs="Arial"/>
                <w:b/>
                <w:bCs/>
                <w:sz w:val="24"/>
                <w:szCs w:val="24"/>
              </w:rPr>
              <w:t>Cette semaine tu vas surtout étudier les causes de la</w:t>
            </w:r>
            <w:r>
              <w:rPr>
                <w:rFonts w:ascii="Arial" w:hAnsi="Arial" w:cs="Arial"/>
                <w:b/>
                <w:bCs/>
                <w:sz w:val="24"/>
                <w:szCs w:val="24"/>
              </w:rPr>
              <w:t xml:space="preserve"> première</w:t>
            </w:r>
            <w:r w:rsidRPr="007B25C2">
              <w:rPr>
                <w:rFonts w:ascii="Arial" w:hAnsi="Arial" w:cs="Arial"/>
                <w:b/>
                <w:bCs/>
                <w:sz w:val="24"/>
                <w:szCs w:val="24"/>
              </w:rPr>
              <w:t xml:space="preserve"> guerre</w:t>
            </w:r>
            <w:r>
              <w:rPr>
                <w:rFonts w:ascii="Arial" w:hAnsi="Arial" w:cs="Arial"/>
                <w:b/>
                <w:bCs/>
                <w:sz w:val="24"/>
                <w:szCs w:val="24"/>
              </w:rPr>
              <w:t xml:space="preserve"> mondiale</w:t>
            </w:r>
            <w:r w:rsidR="00665B55">
              <w:rPr>
                <w:rFonts w:ascii="Arial" w:hAnsi="Arial" w:cs="Arial"/>
                <w:b/>
                <w:bCs/>
                <w:sz w:val="24"/>
                <w:szCs w:val="24"/>
              </w:rPr>
              <w:t xml:space="preserve"> et la bataille de la Marne</w:t>
            </w:r>
            <w:r w:rsidRPr="007B25C2">
              <w:rPr>
                <w:rFonts w:ascii="Arial" w:hAnsi="Arial" w:cs="Arial"/>
                <w:b/>
                <w:bCs/>
                <w:sz w:val="24"/>
                <w:szCs w:val="24"/>
              </w:rPr>
              <w:t>.</w:t>
            </w:r>
            <w:r w:rsidR="00665B55">
              <w:rPr>
                <w:rFonts w:ascii="Arial" w:hAnsi="Arial" w:cs="Arial"/>
                <w:b/>
                <w:bCs/>
                <w:sz w:val="24"/>
                <w:szCs w:val="24"/>
              </w:rPr>
              <w:t xml:space="preserve"> </w:t>
            </w:r>
            <w:r w:rsidR="00665B55">
              <w:rPr>
                <w:rFonts w:ascii="Arial" w:hAnsi="Arial" w:cs="Arial"/>
                <w:sz w:val="24"/>
                <w:szCs w:val="24"/>
              </w:rPr>
              <w:t>Donc, arrête la vidéo et les question à la fin du 4*1 La guerre de mouvement.</w:t>
            </w:r>
            <w:r w:rsidR="00483718">
              <w:rPr>
                <w:rFonts w:ascii="Arial" w:hAnsi="Arial" w:cs="Arial"/>
                <w:sz w:val="24"/>
                <w:szCs w:val="24"/>
              </w:rPr>
              <w:t xml:space="preserve"> </w:t>
            </w:r>
          </w:p>
          <w:p w14:paraId="1D249521" w14:textId="77777777" w:rsidR="00935CE9" w:rsidRPr="006756C0" w:rsidRDefault="001E5117" w:rsidP="00935CE9">
            <w:pPr>
              <w:rPr>
                <w:rFonts w:ascii="Arial" w:hAnsi="Arial" w:cs="Arial"/>
                <w:sz w:val="28"/>
                <w:szCs w:val="28"/>
              </w:rPr>
            </w:pPr>
            <w:hyperlink r:id="rId13" w:history="1">
              <w:r w:rsidR="00935CE9" w:rsidRPr="006756C0">
                <w:rPr>
                  <w:rStyle w:val="Lienhypertexte"/>
                  <w:rFonts w:ascii="Arial" w:hAnsi="Arial" w:cs="Arial"/>
                  <w:sz w:val="28"/>
                  <w:szCs w:val="28"/>
                </w:rPr>
                <w:t>https://www.youtube.com/watch?v=3LrPAz4cjh0</w:t>
              </w:r>
            </w:hyperlink>
          </w:p>
          <w:p w14:paraId="0ADEB724" w14:textId="5307CD83" w:rsidR="00935CE9" w:rsidRDefault="00665B55">
            <w:pPr>
              <w:rPr>
                <w:rFonts w:ascii="Arial" w:hAnsi="Arial" w:cs="Arial"/>
                <w:sz w:val="24"/>
                <w:szCs w:val="24"/>
              </w:rPr>
            </w:pPr>
            <w:r>
              <w:rPr>
                <w:rFonts w:ascii="Arial" w:hAnsi="Arial" w:cs="Arial"/>
                <w:sz w:val="24"/>
                <w:szCs w:val="24"/>
              </w:rPr>
              <w:t xml:space="preserve">Ensuite, colorie avec soin la carte des alliances militaires en 1914 ainsi que les dirigeants des pays. Mémorise en même temps. </w:t>
            </w:r>
            <w:r w:rsidR="00AB1ECE">
              <w:rPr>
                <w:rFonts w:ascii="Arial" w:hAnsi="Arial" w:cs="Arial"/>
                <w:sz w:val="24"/>
                <w:szCs w:val="24"/>
              </w:rPr>
              <w:t>Enfin, lis et apprends La victoire de la Marne.</w:t>
            </w:r>
          </w:p>
          <w:p w14:paraId="3CD92BC3" w14:textId="77777777" w:rsidR="00935F83" w:rsidRDefault="00AB1ECE" w:rsidP="00D1362B">
            <w:pPr>
              <w:rPr>
                <w:rFonts w:ascii="Arial" w:hAnsi="Arial" w:cs="Arial"/>
                <w:sz w:val="24"/>
                <w:szCs w:val="24"/>
              </w:rPr>
            </w:pPr>
            <w:r>
              <w:rPr>
                <w:rFonts w:ascii="Arial" w:hAnsi="Arial" w:cs="Arial"/>
                <w:sz w:val="24"/>
                <w:szCs w:val="24"/>
              </w:rPr>
              <w:t xml:space="preserve">Place les documents dans l’ordre dans ton cahier d’histoire. </w:t>
            </w:r>
            <w:r w:rsidR="00483718">
              <w:rPr>
                <w:rFonts w:ascii="Arial" w:hAnsi="Arial" w:cs="Arial"/>
                <w:sz w:val="24"/>
                <w:szCs w:val="24"/>
              </w:rPr>
              <w:t>Surligne et apprends le vocabulaire que tu as rencontré.</w:t>
            </w:r>
          </w:p>
          <w:p w14:paraId="38A74689" w14:textId="77777777" w:rsidR="00F05B98" w:rsidRDefault="00F05B98" w:rsidP="00D1362B">
            <w:pPr>
              <w:rPr>
                <w:rFonts w:ascii="Arial" w:hAnsi="Arial" w:cs="Arial"/>
                <w:sz w:val="24"/>
                <w:szCs w:val="24"/>
              </w:rPr>
            </w:pPr>
            <w:r>
              <w:rPr>
                <w:rFonts w:ascii="Arial" w:hAnsi="Arial" w:cs="Arial"/>
                <w:sz w:val="24"/>
                <w:szCs w:val="24"/>
              </w:rPr>
              <w:t>Visionne également sur LUMNI :</w:t>
            </w:r>
          </w:p>
          <w:p w14:paraId="1B747F93" w14:textId="5AE4EA86" w:rsidR="00F05B98" w:rsidRDefault="001E5117" w:rsidP="00D1362B">
            <w:pPr>
              <w:rPr>
                <w:rFonts w:ascii="Arial" w:hAnsi="Arial" w:cs="Arial"/>
                <w:sz w:val="24"/>
                <w:szCs w:val="24"/>
              </w:rPr>
            </w:pPr>
            <w:hyperlink r:id="rId14" w:history="1">
              <w:r w:rsidR="00F05B98" w:rsidRPr="004E72A4">
                <w:rPr>
                  <w:rStyle w:val="Lienhypertexte"/>
                  <w:rFonts w:ascii="Arial" w:hAnsi="Arial" w:cs="Arial"/>
                  <w:sz w:val="24"/>
                  <w:szCs w:val="24"/>
                </w:rPr>
                <w:t>https://www.lumni.fr/video/pourquoi-y-a-t-il-eu-la-1re-guerre-mondiale</w:t>
              </w:r>
            </w:hyperlink>
          </w:p>
          <w:p w14:paraId="427A329A" w14:textId="472A6847" w:rsidR="00F05B98" w:rsidRDefault="001E5117" w:rsidP="00D1362B">
            <w:pPr>
              <w:rPr>
                <w:rFonts w:ascii="Arial" w:hAnsi="Arial" w:cs="Arial"/>
                <w:sz w:val="24"/>
                <w:szCs w:val="24"/>
              </w:rPr>
            </w:pPr>
            <w:hyperlink r:id="rId15" w:history="1">
              <w:r w:rsidR="00F05B98" w:rsidRPr="004E72A4">
                <w:rPr>
                  <w:rStyle w:val="Lienhypertexte"/>
                  <w:rFonts w:ascii="Arial" w:hAnsi="Arial" w:cs="Arial"/>
                  <w:sz w:val="24"/>
                  <w:szCs w:val="24"/>
                </w:rPr>
                <w:t>https://www.lumni.fr/video/pourquoi-la-bataille-de-la-marne-est-elle-celebre-1-jour-1-question</w:t>
              </w:r>
            </w:hyperlink>
          </w:p>
          <w:p w14:paraId="653E685B" w14:textId="07F7A4CE" w:rsidR="00F05B98" w:rsidRDefault="00F05B98" w:rsidP="00D1362B">
            <w:pPr>
              <w:rPr>
                <w:rFonts w:ascii="Arial" w:hAnsi="Arial" w:cs="Arial"/>
                <w:sz w:val="24"/>
                <w:szCs w:val="24"/>
              </w:rPr>
            </w:pPr>
          </w:p>
        </w:tc>
      </w:tr>
    </w:tbl>
    <w:p w14:paraId="5633F29F" w14:textId="2D16D6CF" w:rsidR="00F6587C" w:rsidRPr="00D945DD" w:rsidRDefault="00F6587C" w:rsidP="001E5117">
      <w:pPr>
        <w:tabs>
          <w:tab w:val="left" w:pos="8351"/>
        </w:tabs>
        <w:rPr>
          <w:rFonts w:ascii="Arial" w:hAnsi="Arial" w:cs="Arial"/>
          <w:sz w:val="24"/>
          <w:szCs w:val="24"/>
        </w:rPr>
      </w:pPr>
    </w:p>
    <w:sectPr w:rsidR="00F6587C" w:rsidRPr="00D945DD" w:rsidSect="001D44A0">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DD"/>
    <w:rsid w:val="000D0A2E"/>
    <w:rsid w:val="000E736B"/>
    <w:rsid w:val="000F05BE"/>
    <w:rsid w:val="001B256C"/>
    <w:rsid w:val="001D44A0"/>
    <w:rsid w:val="001E5117"/>
    <w:rsid w:val="002A43EE"/>
    <w:rsid w:val="00331079"/>
    <w:rsid w:val="00376FF7"/>
    <w:rsid w:val="003959F5"/>
    <w:rsid w:val="003B6EA8"/>
    <w:rsid w:val="003D7D33"/>
    <w:rsid w:val="003E1B5C"/>
    <w:rsid w:val="00412933"/>
    <w:rsid w:val="00483718"/>
    <w:rsid w:val="004E64AC"/>
    <w:rsid w:val="00511F40"/>
    <w:rsid w:val="00521744"/>
    <w:rsid w:val="00526A91"/>
    <w:rsid w:val="00534F4F"/>
    <w:rsid w:val="00535735"/>
    <w:rsid w:val="005403B5"/>
    <w:rsid w:val="0054779D"/>
    <w:rsid w:val="00594485"/>
    <w:rsid w:val="005A131D"/>
    <w:rsid w:val="005E45A7"/>
    <w:rsid w:val="005E53D2"/>
    <w:rsid w:val="00602D13"/>
    <w:rsid w:val="0061065C"/>
    <w:rsid w:val="00664A49"/>
    <w:rsid w:val="00665B55"/>
    <w:rsid w:val="00700B00"/>
    <w:rsid w:val="007025E6"/>
    <w:rsid w:val="00717BA1"/>
    <w:rsid w:val="0072185B"/>
    <w:rsid w:val="00742899"/>
    <w:rsid w:val="007B25C2"/>
    <w:rsid w:val="007C251F"/>
    <w:rsid w:val="007D0DC9"/>
    <w:rsid w:val="008166FD"/>
    <w:rsid w:val="00842A0D"/>
    <w:rsid w:val="008C3B45"/>
    <w:rsid w:val="008F27F9"/>
    <w:rsid w:val="00900BD9"/>
    <w:rsid w:val="00935CE9"/>
    <w:rsid w:val="00935F83"/>
    <w:rsid w:val="009A1FA3"/>
    <w:rsid w:val="009E2B08"/>
    <w:rsid w:val="00A25401"/>
    <w:rsid w:val="00A40A9E"/>
    <w:rsid w:val="00AB1ECE"/>
    <w:rsid w:val="00AE0877"/>
    <w:rsid w:val="00AF0283"/>
    <w:rsid w:val="00B31E89"/>
    <w:rsid w:val="00B67784"/>
    <w:rsid w:val="00B81262"/>
    <w:rsid w:val="00B93A99"/>
    <w:rsid w:val="00B95AEA"/>
    <w:rsid w:val="00C812EA"/>
    <w:rsid w:val="00C9380E"/>
    <w:rsid w:val="00CA4ED0"/>
    <w:rsid w:val="00CB1210"/>
    <w:rsid w:val="00CC1C42"/>
    <w:rsid w:val="00CF6B98"/>
    <w:rsid w:val="00D1362B"/>
    <w:rsid w:val="00D21B74"/>
    <w:rsid w:val="00D460AB"/>
    <w:rsid w:val="00D936F6"/>
    <w:rsid w:val="00D945DD"/>
    <w:rsid w:val="00D95194"/>
    <w:rsid w:val="00DA3D90"/>
    <w:rsid w:val="00DF7320"/>
    <w:rsid w:val="00E33AFB"/>
    <w:rsid w:val="00E4602D"/>
    <w:rsid w:val="00E56033"/>
    <w:rsid w:val="00E62A37"/>
    <w:rsid w:val="00E919C4"/>
    <w:rsid w:val="00EB1C67"/>
    <w:rsid w:val="00EB3DBE"/>
    <w:rsid w:val="00ED62D0"/>
    <w:rsid w:val="00F02086"/>
    <w:rsid w:val="00F05B98"/>
    <w:rsid w:val="00F40F44"/>
    <w:rsid w:val="00F45F03"/>
    <w:rsid w:val="00F5401F"/>
    <w:rsid w:val="00F6587C"/>
    <w:rsid w:val="00FF0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2746"/>
  <w15:chartTrackingRefBased/>
  <w15:docId w15:val="{48173566-D4CF-4540-993C-A8AC0AC2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945D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9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5F83"/>
    <w:rPr>
      <w:color w:val="0563C1" w:themeColor="hyperlink"/>
      <w:u w:val="single"/>
    </w:rPr>
  </w:style>
  <w:style w:type="character" w:styleId="Mentionnonrsolue">
    <w:name w:val="Unresolved Mention"/>
    <w:basedOn w:val="Policepardfaut"/>
    <w:uiPriority w:val="99"/>
    <w:semiHidden/>
    <w:unhideWhenUsed/>
    <w:rsid w:val="00935F83"/>
    <w:rPr>
      <w:color w:val="605E5C"/>
      <w:shd w:val="clear" w:color="auto" w:fill="E1DFDD"/>
    </w:rPr>
  </w:style>
  <w:style w:type="character" w:styleId="Lienhypertextesuivivisit">
    <w:name w:val="FollowedHyperlink"/>
    <w:basedOn w:val="Policepardfaut"/>
    <w:uiPriority w:val="99"/>
    <w:semiHidden/>
    <w:unhideWhenUsed/>
    <w:rsid w:val="00DF7320"/>
    <w:rPr>
      <w:color w:val="954F72" w:themeColor="followedHyperlink"/>
      <w:u w:val="single"/>
    </w:rPr>
  </w:style>
  <w:style w:type="paragraph" w:styleId="Paragraphedeliste">
    <w:name w:val="List Paragraph"/>
    <w:basedOn w:val="Normal"/>
    <w:uiPriority w:val="34"/>
    <w:qFormat/>
    <w:rsid w:val="0072185B"/>
    <w:pPr>
      <w:spacing w:after="200" w:line="276" w:lineRule="auto"/>
      <w:ind w:left="720"/>
      <w:contextualSpacing/>
    </w:pPr>
  </w:style>
  <w:style w:type="paragraph" w:styleId="Textedebulles">
    <w:name w:val="Balloon Text"/>
    <w:basedOn w:val="Normal"/>
    <w:link w:val="TextedebullesCar"/>
    <w:uiPriority w:val="99"/>
    <w:semiHidden/>
    <w:unhideWhenUsed/>
    <w:rsid w:val="001E51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5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distinguer-triangle-et-quadrilatere" TargetMode="External"/><Relationship Id="rId13" Type="http://schemas.openxmlformats.org/officeDocument/2006/relationships/hyperlink" Target="https://www.youtube.com/watch?v=3LrPAz4cjh0" TargetMode="External"/><Relationship Id="rId3" Type="http://schemas.openxmlformats.org/officeDocument/2006/relationships/webSettings" Target="webSettings.xml"/><Relationship Id="rId7" Type="http://schemas.openxmlformats.org/officeDocument/2006/relationships/hyperlink" Target="https://www.youtube.com/watch?v=jv4GsgLS2QY" TargetMode="External"/><Relationship Id="rId12" Type="http://schemas.openxmlformats.org/officeDocument/2006/relationships/hyperlink" Target="https://www.youtube.com/watch?v=oQryUQ5U8I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ZAytqZmzbnw" TargetMode="External"/><Relationship Id="rId11" Type="http://schemas.openxmlformats.org/officeDocument/2006/relationships/hyperlink" Target="https://www.lumni.fr/video/decrire-un-triangle-isocele" TargetMode="External"/><Relationship Id="rId5" Type="http://schemas.openxmlformats.org/officeDocument/2006/relationships/hyperlink" Target="https://www.lumni.fr/video/fractions-partage-equitable" TargetMode="External"/><Relationship Id="rId15" Type="http://schemas.openxmlformats.org/officeDocument/2006/relationships/hyperlink" Target="https://www.lumni.fr/video/pourquoi-la-bataille-de-la-marne-est-elle-celebre-1-jour-1-question" TargetMode="External"/><Relationship Id="rId10" Type="http://schemas.openxmlformats.org/officeDocument/2006/relationships/hyperlink" Target="https://www.lumni.fr/video/reconnaitre-un-triangle-isocele" TargetMode="External"/><Relationship Id="rId4" Type="http://schemas.openxmlformats.org/officeDocument/2006/relationships/hyperlink" Target="https://www.lumni.fr/video/pourquoi-y-a-t-il-une-fete-du-travail" TargetMode="External"/><Relationship Id="rId9" Type="http://schemas.openxmlformats.org/officeDocument/2006/relationships/hyperlink" Target="https://www.lumni.fr/video/decrire-un-triangle-rectangle" TargetMode="External"/><Relationship Id="rId14" Type="http://schemas.openxmlformats.org/officeDocument/2006/relationships/hyperlink" Target="https://www.lumni.fr/video/pourquoi-y-a-t-il-eu-la-1re-guerre-mond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Rohé</dc:creator>
  <cp:keywords/>
  <dc:description/>
  <cp:lastModifiedBy>Delphine Rohé</cp:lastModifiedBy>
  <cp:revision>37</cp:revision>
  <cp:lastPrinted>2020-04-26T17:00:00Z</cp:lastPrinted>
  <dcterms:created xsi:type="dcterms:W3CDTF">2020-03-30T11:55:00Z</dcterms:created>
  <dcterms:modified xsi:type="dcterms:W3CDTF">2020-04-26T17:03:00Z</dcterms:modified>
</cp:coreProperties>
</file>